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366A" w14:textId="77777777" w:rsidR="009B6A44" w:rsidRPr="00CA4087" w:rsidRDefault="009B6A44" w:rsidP="009B6A44">
      <w:pPr>
        <w:jc w:val="center"/>
        <w:rPr>
          <w:rFonts w:ascii="宋体" w:eastAsia="宋体" w:hAnsi="宋体" w:hint="eastAsia"/>
          <w:sz w:val="24"/>
          <w:szCs w:val="24"/>
          <w:shd w:val="clear" w:color="auto" w:fill="FFFFFF"/>
        </w:rPr>
      </w:pPr>
      <w:r w:rsidRPr="00CA4087">
        <w:rPr>
          <w:rFonts w:ascii="宋体" w:eastAsia="宋体" w:hAnsi="宋体" w:hint="eastAsia"/>
          <w:sz w:val="24"/>
          <w:szCs w:val="24"/>
          <w:shd w:val="clear" w:color="auto" w:fill="FFFFFF"/>
        </w:rPr>
        <w:t>江苏省住房和城乡建设厅 江苏省自然资源厅 江苏省消防救援总队</w:t>
      </w:r>
    </w:p>
    <w:p w14:paraId="51A588CD" w14:textId="647583D7" w:rsidR="00114E82" w:rsidRPr="00CA4087" w:rsidRDefault="00B63A7F" w:rsidP="009B6A44">
      <w:pPr>
        <w:jc w:val="center"/>
        <w:rPr>
          <w:rFonts w:ascii="宋体" w:eastAsia="宋体" w:hAnsi="宋体" w:hint="eastAsia"/>
          <w:sz w:val="24"/>
          <w:szCs w:val="24"/>
          <w:shd w:val="clear" w:color="auto" w:fill="FFFFFF"/>
        </w:rPr>
      </w:pPr>
      <w:r>
        <w:rPr>
          <w:rFonts w:ascii="宋体" w:eastAsia="宋体" w:hAnsi="宋体" w:hint="eastAsia"/>
          <w:sz w:val="24"/>
          <w:szCs w:val="24"/>
          <w:shd w:val="clear" w:color="auto" w:fill="FFFFFF"/>
        </w:rPr>
        <w:t>关于</w:t>
      </w:r>
      <w:r w:rsidR="009B6A44" w:rsidRPr="00CA4087">
        <w:rPr>
          <w:rFonts w:ascii="宋体" w:eastAsia="宋体" w:hAnsi="宋体" w:hint="eastAsia"/>
          <w:sz w:val="24"/>
          <w:szCs w:val="24"/>
          <w:shd w:val="clear" w:color="auto" w:fill="FFFFFF"/>
        </w:rPr>
        <w:t>印发</w:t>
      </w:r>
      <w:r>
        <w:rPr>
          <w:rFonts w:ascii="宋体" w:eastAsia="宋体" w:hAnsi="宋体" w:hint="eastAsia"/>
          <w:sz w:val="24"/>
          <w:szCs w:val="24"/>
          <w:shd w:val="clear" w:color="auto" w:fill="FFFFFF"/>
        </w:rPr>
        <w:t>[</w:t>
      </w:r>
      <w:r w:rsidR="009B6A44" w:rsidRPr="00CA4087">
        <w:rPr>
          <w:rFonts w:ascii="宋体" w:eastAsia="宋体" w:hAnsi="宋体" w:hint="eastAsia"/>
          <w:sz w:val="24"/>
          <w:szCs w:val="24"/>
          <w:shd w:val="clear" w:color="auto" w:fill="FFFFFF"/>
        </w:rPr>
        <w:t>关于加强高层建筑规划建设管控的意见</w:t>
      </w:r>
      <w:r>
        <w:rPr>
          <w:rFonts w:ascii="宋体" w:eastAsia="宋体" w:hAnsi="宋体" w:hint="eastAsia"/>
          <w:sz w:val="24"/>
          <w:szCs w:val="24"/>
          <w:shd w:val="clear" w:color="auto" w:fill="FFFFFF"/>
        </w:rPr>
        <w:t>]</w:t>
      </w:r>
      <w:r w:rsidR="009B6A44" w:rsidRPr="00CA4087">
        <w:rPr>
          <w:rFonts w:ascii="宋体" w:eastAsia="宋体" w:hAnsi="宋体" w:hint="eastAsia"/>
          <w:sz w:val="24"/>
          <w:szCs w:val="24"/>
          <w:shd w:val="clear" w:color="auto" w:fill="FFFFFF"/>
        </w:rPr>
        <w:t>的通知</w:t>
      </w:r>
    </w:p>
    <w:p w14:paraId="567E09E5" w14:textId="77777777" w:rsidR="009B6A44" w:rsidRPr="00CA4087" w:rsidRDefault="009B6A44" w:rsidP="009B6A44">
      <w:pPr>
        <w:jc w:val="center"/>
        <w:rPr>
          <w:rFonts w:ascii="宋体" w:eastAsia="宋体" w:hAnsi="宋体" w:hint="eastAsia"/>
          <w:szCs w:val="21"/>
          <w:shd w:val="clear" w:color="auto" w:fill="FFFFFF"/>
        </w:rPr>
      </w:pPr>
      <w:r w:rsidRPr="00CA4087">
        <w:rPr>
          <w:rFonts w:ascii="宋体" w:eastAsia="宋体" w:hAnsi="宋体" w:hint="eastAsia"/>
          <w:szCs w:val="21"/>
          <w:shd w:val="clear" w:color="auto" w:fill="FFFFFF"/>
        </w:rPr>
        <w:t>苏建</w:t>
      </w:r>
      <w:proofErr w:type="gramStart"/>
      <w:r w:rsidRPr="00CA4087">
        <w:rPr>
          <w:rFonts w:ascii="宋体" w:eastAsia="宋体" w:hAnsi="宋体" w:hint="eastAsia"/>
          <w:szCs w:val="21"/>
          <w:shd w:val="clear" w:color="auto" w:fill="FFFFFF"/>
        </w:rPr>
        <w:t>规</w:t>
      </w:r>
      <w:proofErr w:type="gramEnd"/>
      <w:r w:rsidRPr="00CA4087">
        <w:rPr>
          <w:rFonts w:ascii="宋体" w:eastAsia="宋体" w:hAnsi="宋体" w:hint="eastAsia"/>
          <w:szCs w:val="21"/>
          <w:shd w:val="clear" w:color="auto" w:fill="FFFFFF"/>
        </w:rPr>
        <w:t>字[2024]4号</w:t>
      </w:r>
    </w:p>
    <w:p w14:paraId="3C4E85D6" w14:textId="77777777" w:rsidR="009B6A44" w:rsidRPr="00CA4087" w:rsidRDefault="009B6A44" w:rsidP="009B6A44">
      <w:pPr>
        <w:jc w:val="left"/>
        <w:rPr>
          <w:rFonts w:ascii="宋体" w:eastAsia="宋体" w:hAnsi="宋体" w:hint="eastAsia"/>
          <w:szCs w:val="21"/>
          <w:shd w:val="clear" w:color="auto" w:fill="FFFFFF"/>
        </w:rPr>
      </w:pPr>
    </w:p>
    <w:p w14:paraId="2B712EF2" w14:textId="77777777" w:rsidR="009B6A44" w:rsidRPr="00CA4087" w:rsidRDefault="009B6A44" w:rsidP="009B6A44">
      <w:pPr>
        <w:pStyle w:val="a3"/>
        <w:shd w:val="clear" w:color="auto" w:fill="FFFFFF"/>
        <w:spacing w:before="0" w:beforeAutospacing="0" w:after="0" w:afterAutospacing="0"/>
        <w:rPr>
          <w:rFonts w:hint="eastAsia"/>
          <w:sz w:val="21"/>
          <w:szCs w:val="21"/>
        </w:rPr>
      </w:pPr>
      <w:r w:rsidRPr="00CA4087">
        <w:rPr>
          <w:rFonts w:hint="eastAsia"/>
          <w:sz w:val="21"/>
          <w:szCs w:val="21"/>
          <w:bdr w:val="none" w:sz="0" w:space="0" w:color="auto" w:frame="1"/>
        </w:rPr>
        <w:t>各设区市住房城乡建设、自然资源、消防救援主管部门：</w:t>
      </w:r>
    </w:p>
    <w:p w14:paraId="3022C957" w14:textId="77777777" w:rsidR="009B6A44" w:rsidRPr="00CA4087" w:rsidRDefault="009B6A44" w:rsidP="009B6A44">
      <w:pPr>
        <w:pStyle w:val="a3"/>
        <w:shd w:val="clear" w:color="auto" w:fill="FFFFFF"/>
        <w:spacing w:before="0" w:beforeAutospacing="0" w:after="0" w:afterAutospacing="0"/>
        <w:ind w:firstLineChars="200" w:firstLine="420"/>
        <w:rPr>
          <w:rFonts w:hint="eastAsia"/>
          <w:sz w:val="21"/>
          <w:szCs w:val="21"/>
        </w:rPr>
      </w:pPr>
      <w:r w:rsidRPr="00CA4087">
        <w:rPr>
          <w:rFonts w:hint="eastAsia"/>
          <w:sz w:val="21"/>
          <w:szCs w:val="21"/>
          <w:bdr w:val="none" w:sz="0" w:space="0" w:color="auto" w:frame="1"/>
        </w:rPr>
        <w:t>经省政府同意，现将《关于加强高层建筑规划建设管控的意见》印发给你们，请认真贯彻实施。</w:t>
      </w:r>
    </w:p>
    <w:p w14:paraId="43CA8B1F" w14:textId="77777777" w:rsidR="00B63A7F" w:rsidRDefault="009B6A44" w:rsidP="009B6A44">
      <w:pPr>
        <w:pStyle w:val="a3"/>
        <w:shd w:val="clear" w:color="auto" w:fill="FFFFFF"/>
        <w:spacing w:before="0" w:beforeAutospacing="0" w:after="0" w:afterAutospacing="0"/>
        <w:ind w:firstLineChars="200" w:firstLine="420"/>
        <w:jc w:val="right"/>
        <w:rPr>
          <w:sz w:val="21"/>
          <w:szCs w:val="21"/>
          <w:bdr w:val="none" w:sz="0" w:space="0" w:color="auto" w:frame="1"/>
        </w:rPr>
      </w:pPr>
      <w:r w:rsidRPr="00CA4087">
        <w:rPr>
          <w:rFonts w:hint="eastAsia"/>
          <w:sz w:val="21"/>
          <w:szCs w:val="21"/>
          <w:bdr w:val="none" w:sz="0" w:space="0" w:color="auto" w:frame="1"/>
        </w:rPr>
        <w:t>江苏省住房和城乡建设厅</w:t>
      </w:r>
    </w:p>
    <w:p w14:paraId="5CC0DF89" w14:textId="77777777" w:rsidR="00B63A7F" w:rsidRDefault="009B6A44" w:rsidP="009B6A44">
      <w:pPr>
        <w:pStyle w:val="a3"/>
        <w:shd w:val="clear" w:color="auto" w:fill="FFFFFF"/>
        <w:spacing w:before="0" w:beforeAutospacing="0" w:after="0" w:afterAutospacing="0"/>
        <w:ind w:firstLineChars="200" w:firstLine="420"/>
        <w:jc w:val="right"/>
        <w:rPr>
          <w:sz w:val="21"/>
          <w:szCs w:val="21"/>
          <w:bdr w:val="none" w:sz="0" w:space="0" w:color="auto" w:frame="1"/>
        </w:rPr>
      </w:pPr>
      <w:r w:rsidRPr="00CA4087">
        <w:rPr>
          <w:rFonts w:hint="eastAsia"/>
          <w:sz w:val="21"/>
          <w:szCs w:val="21"/>
          <w:bdr w:val="none" w:sz="0" w:space="0" w:color="auto" w:frame="1"/>
        </w:rPr>
        <w:t>江苏省自然资源厅</w:t>
      </w:r>
    </w:p>
    <w:p w14:paraId="3945CD9C" w14:textId="6E4C855A" w:rsidR="009B6A44" w:rsidRPr="00CA4087" w:rsidRDefault="009B6A44" w:rsidP="009B6A44">
      <w:pPr>
        <w:pStyle w:val="a3"/>
        <w:shd w:val="clear" w:color="auto" w:fill="FFFFFF"/>
        <w:spacing w:before="0" w:beforeAutospacing="0" w:after="0" w:afterAutospacing="0"/>
        <w:ind w:firstLineChars="200" w:firstLine="420"/>
        <w:jc w:val="right"/>
        <w:rPr>
          <w:rFonts w:hint="eastAsia"/>
          <w:sz w:val="21"/>
          <w:szCs w:val="21"/>
        </w:rPr>
      </w:pPr>
      <w:r w:rsidRPr="00CA4087">
        <w:rPr>
          <w:rFonts w:hint="eastAsia"/>
          <w:sz w:val="21"/>
          <w:szCs w:val="21"/>
          <w:bdr w:val="none" w:sz="0" w:space="0" w:color="auto" w:frame="1"/>
        </w:rPr>
        <w:t>江苏省消防救援总队</w:t>
      </w:r>
    </w:p>
    <w:p w14:paraId="45ED9A2F" w14:textId="77777777" w:rsidR="009B6A44" w:rsidRPr="00CA4087" w:rsidRDefault="009B6A44" w:rsidP="009B6A44">
      <w:pPr>
        <w:pStyle w:val="a3"/>
        <w:shd w:val="clear" w:color="auto" w:fill="FFFFFF"/>
        <w:spacing w:before="0" w:beforeAutospacing="0" w:after="0" w:afterAutospacing="0"/>
        <w:ind w:firstLineChars="200" w:firstLine="420"/>
        <w:jc w:val="right"/>
        <w:rPr>
          <w:rFonts w:hint="eastAsia"/>
          <w:sz w:val="21"/>
          <w:szCs w:val="21"/>
        </w:rPr>
      </w:pPr>
      <w:r w:rsidRPr="00CA4087">
        <w:rPr>
          <w:rFonts w:hint="eastAsia"/>
          <w:sz w:val="21"/>
          <w:szCs w:val="21"/>
          <w:bdr w:val="none" w:sz="0" w:space="0" w:color="auto" w:frame="1"/>
        </w:rPr>
        <w:t>2024年10月28日</w:t>
      </w:r>
    </w:p>
    <w:p w14:paraId="4740E5F9" w14:textId="77777777" w:rsidR="009B6A44" w:rsidRPr="00CA4087" w:rsidRDefault="009B6A44" w:rsidP="009B6A44">
      <w:pPr>
        <w:pStyle w:val="a3"/>
        <w:shd w:val="clear" w:color="auto" w:fill="FFFFFF"/>
        <w:spacing w:before="0" w:beforeAutospacing="0" w:after="0" w:afterAutospacing="0"/>
        <w:jc w:val="both"/>
        <w:rPr>
          <w:rFonts w:hint="eastAsia"/>
          <w:sz w:val="21"/>
          <w:szCs w:val="21"/>
        </w:rPr>
      </w:pPr>
    </w:p>
    <w:p w14:paraId="1FC366B0" w14:textId="77777777" w:rsidR="009B6A44" w:rsidRPr="00CA4087" w:rsidRDefault="009B6A44" w:rsidP="009B6A44">
      <w:pPr>
        <w:pStyle w:val="a3"/>
        <w:shd w:val="clear" w:color="auto" w:fill="FFFFFF"/>
        <w:spacing w:before="0" w:beforeAutospacing="0" w:after="0" w:afterAutospacing="0"/>
        <w:ind w:firstLineChars="200" w:firstLine="480"/>
        <w:jc w:val="center"/>
        <w:textAlignment w:val="baseline"/>
        <w:rPr>
          <w:rFonts w:hint="eastAsia"/>
        </w:rPr>
      </w:pPr>
      <w:r w:rsidRPr="00CA4087">
        <w:rPr>
          <w:rFonts w:hint="eastAsia"/>
          <w:bdr w:val="none" w:sz="0" w:space="0" w:color="auto" w:frame="1"/>
        </w:rPr>
        <w:t>关于加强高层建筑规划建设管控的意见</w:t>
      </w:r>
    </w:p>
    <w:p w14:paraId="142136EE"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9B6A44">
        <w:rPr>
          <w:rFonts w:hint="eastAsia"/>
          <w:color w:val="000000"/>
          <w:sz w:val="21"/>
          <w:szCs w:val="21"/>
          <w:bdr w:val="none" w:sz="0" w:space="0" w:color="auto" w:frame="1"/>
        </w:rPr>
        <w:t>为深入贯彻落实习近平总书记关于安全生产工作的重要指示精神，按照省委省政府的工作部署，统筹发展和安全，进一步加强我省高层建筑</w:t>
      </w:r>
      <w:r>
        <w:rPr>
          <w:rFonts w:hint="eastAsia"/>
          <w:color w:val="000000"/>
          <w:sz w:val="21"/>
          <w:szCs w:val="21"/>
          <w:bdr w:val="none" w:sz="0" w:space="0" w:color="auto" w:frame="1"/>
        </w:rPr>
        <w:t>(</w:t>
      </w:r>
      <w:r w:rsidRPr="009B6A44">
        <w:rPr>
          <w:rFonts w:hint="eastAsia"/>
          <w:color w:val="000000"/>
          <w:sz w:val="21"/>
          <w:szCs w:val="21"/>
          <w:bdr w:val="none" w:sz="0" w:space="0" w:color="auto" w:frame="1"/>
        </w:rPr>
        <w:t>建筑高度大于27米的住宅，大于24米的非单层厂房、仓库和其他民用建筑。其中，建筑高度大于100米的为超高层建筑</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的规划建设管理，提升高层建筑本质安全水平，切实保障人民群众生命财产安全，现就新建高层建筑规划建设管</w:t>
      </w:r>
      <w:proofErr w:type="gramStart"/>
      <w:r w:rsidRPr="009B6A44">
        <w:rPr>
          <w:rFonts w:hint="eastAsia"/>
          <w:color w:val="000000"/>
          <w:sz w:val="21"/>
          <w:szCs w:val="21"/>
          <w:bdr w:val="none" w:sz="0" w:space="0" w:color="auto" w:frame="1"/>
        </w:rPr>
        <w:t>控提出</w:t>
      </w:r>
      <w:proofErr w:type="gramEnd"/>
      <w:r w:rsidRPr="009B6A44">
        <w:rPr>
          <w:rFonts w:hint="eastAsia"/>
          <w:color w:val="000000"/>
          <w:sz w:val="21"/>
          <w:szCs w:val="21"/>
          <w:bdr w:val="none" w:sz="0" w:space="0" w:color="auto" w:frame="1"/>
        </w:rPr>
        <w:t>以下意见。</w:t>
      </w:r>
    </w:p>
    <w:p w14:paraId="594502E7" w14:textId="77777777" w:rsidR="009B6A44" w:rsidRPr="00C23177" w:rsidRDefault="009B6A44" w:rsidP="00C23177">
      <w:pPr>
        <w:pStyle w:val="a3"/>
        <w:shd w:val="clear" w:color="auto" w:fill="FFFFFF"/>
        <w:spacing w:before="0" w:beforeAutospacing="0" w:after="0" w:afterAutospacing="0"/>
        <w:ind w:firstLineChars="200" w:firstLine="420"/>
        <w:jc w:val="both"/>
        <w:rPr>
          <w:rFonts w:hint="eastAsia"/>
          <w:color w:val="FF0000"/>
          <w:sz w:val="21"/>
          <w:szCs w:val="21"/>
        </w:rPr>
      </w:pPr>
      <w:r w:rsidRPr="00C23177">
        <w:rPr>
          <w:rFonts w:hint="eastAsia"/>
          <w:color w:val="FF0000"/>
          <w:sz w:val="21"/>
          <w:szCs w:val="21"/>
          <w:bdr w:val="none" w:sz="0" w:space="0" w:color="auto" w:frame="1"/>
        </w:rPr>
        <w:t>一、严格立项规划环节源头管控</w:t>
      </w:r>
    </w:p>
    <w:p w14:paraId="478D4BD5"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w:t>
      </w:r>
      <w:proofErr w:type="gramStart"/>
      <w:r w:rsidRPr="00C23177">
        <w:rPr>
          <w:rFonts w:hint="eastAsia"/>
          <w:color w:val="FF0000"/>
          <w:sz w:val="21"/>
          <w:szCs w:val="21"/>
          <w:bdr w:val="none" w:sz="0" w:space="0" w:color="auto" w:frame="1"/>
        </w:rPr>
        <w:t>一</w:t>
      </w:r>
      <w:proofErr w:type="gramEnd"/>
      <w:r w:rsidRPr="00C23177">
        <w:rPr>
          <w:rFonts w:hint="eastAsia"/>
          <w:color w:val="FF0000"/>
          <w:sz w:val="21"/>
          <w:szCs w:val="21"/>
          <w:bdr w:val="none" w:sz="0" w:space="0" w:color="auto" w:frame="1"/>
        </w:rPr>
        <w:t>)加强高层建筑高度管控。</w:t>
      </w:r>
      <w:r w:rsidRPr="009B6A44">
        <w:rPr>
          <w:rFonts w:hint="eastAsia"/>
          <w:color w:val="000000"/>
          <w:sz w:val="21"/>
          <w:szCs w:val="21"/>
          <w:bdr w:val="none" w:sz="0" w:space="0" w:color="auto" w:frame="1"/>
        </w:rPr>
        <w:t>各地应结合地区经济社会发展、常住人口规模、消防救援能力、改善型住宅需求等因素，编制覆盖消防安全布局、消防站、消防供水、消防通信及信息化、消防车通道、消防装备的消防专项规划，并将涉及空间利用的相关内容统筹纳入国土空间规划。各地在编制城市中心地区、交通枢纽区、沿山滨水景观地区、历史风貌区、城市更新区等区域详细规划时，应分级分类因地制宜，明确具体地块建筑高度、容积率等上限指标。</w:t>
      </w:r>
    </w:p>
    <w:p w14:paraId="12A30425"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9B6A44">
        <w:rPr>
          <w:rFonts w:hint="eastAsia"/>
          <w:color w:val="000000"/>
          <w:sz w:val="21"/>
          <w:szCs w:val="21"/>
          <w:bdr w:val="none" w:sz="0" w:space="0" w:color="auto" w:frame="1"/>
        </w:rPr>
        <w:t>城区常住人口</w:t>
      </w:r>
      <w:r w:rsidRPr="009B6A44">
        <w:rPr>
          <w:rFonts w:cs="Times New Roman"/>
          <w:color w:val="000000"/>
          <w:sz w:val="21"/>
          <w:szCs w:val="21"/>
          <w:bdr w:val="none" w:sz="0" w:space="0" w:color="auto" w:frame="1"/>
        </w:rPr>
        <w:t>300</w:t>
      </w:r>
      <w:r w:rsidRPr="009B6A44">
        <w:rPr>
          <w:rFonts w:hint="eastAsia"/>
          <w:color w:val="000000"/>
          <w:sz w:val="21"/>
          <w:szCs w:val="21"/>
          <w:bdr w:val="none" w:sz="0" w:space="0" w:color="auto" w:frame="1"/>
        </w:rPr>
        <w:t>万以上城市不得新建</w:t>
      </w:r>
      <w:r w:rsidRPr="009B6A44">
        <w:rPr>
          <w:rFonts w:cs="Times New Roman"/>
          <w:color w:val="000000"/>
          <w:sz w:val="21"/>
          <w:szCs w:val="21"/>
          <w:bdr w:val="none" w:sz="0" w:space="0" w:color="auto" w:frame="1"/>
        </w:rPr>
        <w:t>500</w:t>
      </w:r>
      <w:r w:rsidRPr="009B6A44">
        <w:rPr>
          <w:rFonts w:hint="eastAsia"/>
          <w:color w:val="000000"/>
          <w:sz w:val="21"/>
          <w:szCs w:val="21"/>
          <w:bdr w:val="none" w:sz="0" w:space="0" w:color="auto" w:frame="1"/>
        </w:rPr>
        <w:t>米以上建筑，严格限制新建</w:t>
      </w:r>
      <w:r w:rsidRPr="009B6A44">
        <w:rPr>
          <w:rFonts w:cs="Times New Roman"/>
          <w:color w:val="000000"/>
          <w:sz w:val="21"/>
          <w:szCs w:val="21"/>
          <w:bdr w:val="none" w:sz="0" w:space="0" w:color="auto" w:frame="1"/>
        </w:rPr>
        <w:t>250</w:t>
      </w:r>
      <w:r w:rsidRPr="009B6A44">
        <w:rPr>
          <w:rFonts w:hint="eastAsia"/>
          <w:color w:val="000000"/>
          <w:sz w:val="21"/>
          <w:szCs w:val="21"/>
          <w:bdr w:val="none" w:sz="0" w:space="0" w:color="auto" w:frame="1"/>
        </w:rPr>
        <w:t>米以上建筑。城区常住人口</w:t>
      </w:r>
      <w:r w:rsidRPr="009B6A44">
        <w:rPr>
          <w:rFonts w:cs="Times New Roman"/>
          <w:color w:val="000000"/>
          <w:sz w:val="21"/>
          <w:szCs w:val="21"/>
          <w:bdr w:val="none" w:sz="0" w:space="0" w:color="auto" w:frame="1"/>
        </w:rPr>
        <w:t>300</w:t>
      </w:r>
      <w:r w:rsidRPr="009B6A44">
        <w:rPr>
          <w:rFonts w:hint="eastAsia"/>
          <w:color w:val="000000"/>
          <w:sz w:val="21"/>
          <w:szCs w:val="21"/>
          <w:bdr w:val="none" w:sz="0" w:space="0" w:color="auto" w:frame="1"/>
        </w:rPr>
        <w:t>万以下城市不得新建</w:t>
      </w:r>
      <w:r w:rsidRPr="009B6A44">
        <w:rPr>
          <w:rFonts w:cs="Times New Roman"/>
          <w:color w:val="000000"/>
          <w:sz w:val="21"/>
          <w:szCs w:val="21"/>
          <w:bdr w:val="none" w:sz="0" w:space="0" w:color="auto" w:frame="1"/>
        </w:rPr>
        <w:t>250</w:t>
      </w:r>
      <w:r w:rsidRPr="009B6A44">
        <w:rPr>
          <w:rFonts w:hint="eastAsia"/>
          <w:color w:val="000000"/>
          <w:sz w:val="21"/>
          <w:szCs w:val="21"/>
          <w:bdr w:val="none" w:sz="0" w:space="0" w:color="auto" w:frame="1"/>
        </w:rPr>
        <w:t>米以上建筑，其中城区常住人口</w:t>
      </w:r>
      <w:r w:rsidRPr="009B6A44">
        <w:rPr>
          <w:rFonts w:cs="Times New Roman"/>
          <w:color w:val="000000"/>
          <w:sz w:val="21"/>
          <w:szCs w:val="21"/>
          <w:bdr w:val="none" w:sz="0" w:space="0" w:color="auto" w:frame="1"/>
        </w:rPr>
        <w:t>100</w:t>
      </w:r>
      <w:r w:rsidRPr="009B6A44">
        <w:rPr>
          <w:rFonts w:hint="eastAsia"/>
          <w:color w:val="000000"/>
          <w:sz w:val="21"/>
          <w:szCs w:val="21"/>
          <w:bdr w:val="none" w:sz="0" w:space="0" w:color="auto" w:frame="1"/>
        </w:rPr>
        <w:t>万</w:t>
      </w:r>
      <w:r w:rsidRPr="009B6A44">
        <w:rPr>
          <w:rFonts w:cs="Times New Roman"/>
          <w:color w:val="000000"/>
          <w:sz w:val="21"/>
          <w:szCs w:val="21"/>
          <w:bdr w:val="none" w:sz="0" w:space="0" w:color="auto" w:frame="1"/>
        </w:rPr>
        <w:t>-300</w:t>
      </w:r>
      <w:r w:rsidRPr="009B6A44">
        <w:rPr>
          <w:rFonts w:hint="eastAsia"/>
          <w:color w:val="000000"/>
          <w:sz w:val="21"/>
          <w:szCs w:val="21"/>
          <w:bdr w:val="none" w:sz="0" w:space="0" w:color="auto" w:frame="1"/>
        </w:rPr>
        <w:t>万城市严格限制新建</w:t>
      </w:r>
      <w:r w:rsidRPr="009B6A44">
        <w:rPr>
          <w:rFonts w:cs="Times New Roman"/>
          <w:color w:val="000000"/>
          <w:sz w:val="21"/>
          <w:szCs w:val="21"/>
          <w:bdr w:val="none" w:sz="0" w:space="0" w:color="auto" w:frame="1"/>
        </w:rPr>
        <w:t>150</w:t>
      </w:r>
      <w:r w:rsidRPr="009B6A44">
        <w:rPr>
          <w:rFonts w:hint="eastAsia"/>
          <w:color w:val="000000"/>
          <w:sz w:val="21"/>
          <w:szCs w:val="21"/>
          <w:bdr w:val="none" w:sz="0" w:space="0" w:color="auto" w:frame="1"/>
        </w:rPr>
        <w:t>米以上建筑，城区常住人口</w:t>
      </w:r>
      <w:r w:rsidRPr="009B6A44">
        <w:rPr>
          <w:rFonts w:cs="Times New Roman"/>
          <w:color w:val="000000"/>
          <w:sz w:val="21"/>
          <w:szCs w:val="21"/>
          <w:bdr w:val="none" w:sz="0" w:space="0" w:color="auto" w:frame="1"/>
        </w:rPr>
        <w:t>100</w:t>
      </w:r>
      <w:r w:rsidRPr="009B6A44">
        <w:rPr>
          <w:rFonts w:hint="eastAsia"/>
          <w:color w:val="000000"/>
          <w:sz w:val="21"/>
          <w:szCs w:val="21"/>
          <w:bdr w:val="none" w:sz="0" w:space="0" w:color="auto" w:frame="1"/>
        </w:rPr>
        <w:t>万以下城市严格限制新建</w:t>
      </w:r>
      <w:r w:rsidRPr="009B6A44">
        <w:rPr>
          <w:rFonts w:cs="Times New Roman"/>
          <w:color w:val="000000"/>
          <w:sz w:val="21"/>
          <w:szCs w:val="21"/>
          <w:bdr w:val="none" w:sz="0" w:space="0" w:color="auto" w:frame="1"/>
        </w:rPr>
        <w:t>100</w:t>
      </w:r>
      <w:r w:rsidRPr="009B6A44">
        <w:rPr>
          <w:rFonts w:hint="eastAsia"/>
          <w:color w:val="000000"/>
          <w:sz w:val="21"/>
          <w:szCs w:val="21"/>
          <w:bdr w:val="none" w:sz="0" w:space="0" w:color="auto" w:frame="1"/>
        </w:rPr>
        <w:t>米以上建筑。</w:t>
      </w:r>
    </w:p>
    <w:p w14:paraId="12E2CA26"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9B6A44">
        <w:rPr>
          <w:rFonts w:hint="eastAsia"/>
          <w:color w:val="000000"/>
          <w:sz w:val="21"/>
          <w:szCs w:val="21"/>
          <w:bdr w:val="none" w:sz="0" w:space="0" w:color="auto" w:frame="1"/>
        </w:rPr>
        <w:t>各地一般不得新建</w:t>
      </w:r>
      <w:r w:rsidRPr="009B6A44">
        <w:rPr>
          <w:rFonts w:cs="Times New Roman"/>
          <w:color w:val="000000"/>
          <w:sz w:val="21"/>
          <w:szCs w:val="21"/>
          <w:bdr w:val="none" w:sz="0" w:space="0" w:color="auto" w:frame="1"/>
        </w:rPr>
        <w:t>100</w:t>
      </w:r>
      <w:r w:rsidRPr="009B6A44">
        <w:rPr>
          <w:rFonts w:hint="eastAsia"/>
          <w:color w:val="000000"/>
          <w:sz w:val="21"/>
          <w:szCs w:val="21"/>
          <w:bdr w:val="none" w:sz="0" w:space="0" w:color="auto" w:frame="1"/>
        </w:rPr>
        <w:t>米以上的住宅建筑，城区常住人口</w:t>
      </w:r>
      <w:r w:rsidRPr="009B6A44">
        <w:rPr>
          <w:rFonts w:cs="Times New Roman"/>
          <w:color w:val="000000"/>
          <w:sz w:val="21"/>
          <w:szCs w:val="21"/>
          <w:bdr w:val="none" w:sz="0" w:space="0" w:color="auto" w:frame="1"/>
        </w:rPr>
        <w:t>100</w:t>
      </w:r>
      <w:r w:rsidRPr="009B6A44">
        <w:rPr>
          <w:rFonts w:hint="eastAsia"/>
          <w:color w:val="000000"/>
          <w:sz w:val="21"/>
          <w:szCs w:val="21"/>
          <w:bdr w:val="none" w:sz="0" w:space="0" w:color="auto" w:frame="1"/>
        </w:rPr>
        <w:t>万以下城市严格限制新建</w:t>
      </w:r>
      <w:r w:rsidRPr="009B6A44">
        <w:rPr>
          <w:rFonts w:cs="Times New Roman"/>
          <w:color w:val="000000"/>
          <w:sz w:val="21"/>
          <w:szCs w:val="21"/>
          <w:bdr w:val="none" w:sz="0" w:space="0" w:color="auto" w:frame="1"/>
        </w:rPr>
        <w:t>80</w:t>
      </w:r>
      <w:r w:rsidRPr="009B6A44">
        <w:rPr>
          <w:rFonts w:hint="eastAsia"/>
          <w:color w:val="000000"/>
          <w:sz w:val="21"/>
          <w:szCs w:val="21"/>
          <w:bdr w:val="none" w:sz="0" w:space="0" w:color="auto" w:frame="1"/>
        </w:rPr>
        <w:t>米以上住宅建筑。</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省自然资源厅、省住房城乡建设厅、省消防救援总队按职责分工负责；属地政府组织落实；以下均需地方政府负责，不再单独列出</w:t>
      </w:r>
      <w:r>
        <w:rPr>
          <w:rFonts w:hint="eastAsia"/>
          <w:color w:val="000000"/>
          <w:sz w:val="21"/>
          <w:szCs w:val="21"/>
          <w:bdr w:val="none" w:sz="0" w:space="0" w:color="auto" w:frame="1"/>
        </w:rPr>
        <w:t>)</w:t>
      </w:r>
    </w:p>
    <w:p w14:paraId="2171CAF4"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(二)规范高层建筑报审程序。</w:t>
      </w:r>
      <w:r w:rsidRPr="009B6A44">
        <w:rPr>
          <w:rFonts w:hint="eastAsia"/>
          <w:color w:val="000000"/>
          <w:sz w:val="21"/>
          <w:szCs w:val="21"/>
          <w:bdr w:val="none" w:sz="0" w:space="0" w:color="auto" w:frame="1"/>
        </w:rPr>
        <w:t>确需新建超高层建筑的，作为重大公共建设项目履行重大行政决策程序。相关部门在审批</w:t>
      </w:r>
      <w:r w:rsidRPr="009B6A44">
        <w:rPr>
          <w:rFonts w:cs="Times New Roman"/>
          <w:color w:val="000000"/>
          <w:sz w:val="21"/>
          <w:szCs w:val="21"/>
          <w:bdr w:val="none" w:sz="0" w:space="0" w:color="auto" w:frame="1"/>
        </w:rPr>
        <w:t>80</w:t>
      </w:r>
      <w:r w:rsidRPr="009B6A44">
        <w:rPr>
          <w:rFonts w:hint="eastAsia"/>
          <w:color w:val="000000"/>
          <w:sz w:val="21"/>
          <w:szCs w:val="21"/>
          <w:bdr w:val="none" w:sz="0" w:space="0" w:color="auto" w:frame="1"/>
        </w:rPr>
        <w:t>米以上住宅建筑、</w:t>
      </w:r>
      <w:r w:rsidRPr="009B6A44">
        <w:rPr>
          <w:rFonts w:cs="Times New Roman"/>
          <w:color w:val="000000"/>
          <w:sz w:val="21"/>
          <w:szCs w:val="21"/>
          <w:bdr w:val="none" w:sz="0" w:space="0" w:color="auto" w:frame="1"/>
        </w:rPr>
        <w:t>100</w:t>
      </w:r>
      <w:r w:rsidRPr="009B6A44">
        <w:rPr>
          <w:rFonts w:hint="eastAsia"/>
          <w:color w:val="000000"/>
          <w:sz w:val="21"/>
          <w:szCs w:val="21"/>
          <w:bdr w:val="none" w:sz="0" w:space="0" w:color="auto" w:frame="1"/>
        </w:rPr>
        <w:t>米以上公共建筑建设项目时，应征求同级消防救援机构意见，确保与当地消防救援能力相匹配。城区常住人口</w:t>
      </w:r>
      <w:r w:rsidRPr="009B6A44">
        <w:rPr>
          <w:rFonts w:cs="Times New Roman"/>
          <w:color w:val="000000"/>
          <w:sz w:val="21"/>
          <w:szCs w:val="21"/>
          <w:bdr w:val="none" w:sz="0" w:space="0" w:color="auto" w:frame="1"/>
        </w:rPr>
        <w:t>300</w:t>
      </w:r>
      <w:r w:rsidRPr="009B6A44">
        <w:rPr>
          <w:rFonts w:hint="eastAsia"/>
          <w:color w:val="000000"/>
          <w:sz w:val="21"/>
          <w:szCs w:val="21"/>
          <w:bdr w:val="none" w:sz="0" w:space="0" w:color="auto" w:frame="1"/>
        </w:rPr>
        <w:t>万以上的城市新建</w:t>
      </w:r>
      <w:r w:rsidRPr="009B6A44">
        <w:rPr>
          <w:rFonts w:cs="Times New Roman"/>
          <w:color w:val="000000"/>
          <w:sz w:val="21"/>
          <w:szCs w:val="21"/>
          <w:bdr w:val="none" w:sz="0" w:space="0" w:color="auto" w:frame="1"/>
        </w:rPr>
        <w:t>250</w:t>
      </w:r>
      <w:r w:rsidRPr="009B6A44">
        <w:rPr>
          <w:rFonts w:hint="eastAsia"/>
          <w:color w:val="000000"/>
          <w:sz w:val="21"/>
          <w:szCs w:val="21"/>
          <w:bdr w:val="none" w:sz="0" w:space="0" w:color="auto" w:frame="1"/>
        </w:rPr>
        <w:t>米以上建筑，应报省住房和城乡建设厅进行超限高层建筑工程抗震设防和民用建筑防火加强性措施等专题严格论证审查，并报住房和城乡建设部备案复核。城区常住人口</w:t>
      </w:r>
      <w:r w:rsidRPr="009B6A44">
        <w:rPr>
          <w:rFonts w:cs="Times New Roman"/>
          <w:color w:val="000000"/>
          <w:sz w:val="21"/>
          <w:szCs w:val="21"/>
          <w:bdr w:val="none" w:sz="0" w:space="0" w:color="auto" w:frame="1"/>
        </w:rPr>
        <w:t>300</w:t>
      </w:r>
      <w:r w:rsidRPr="009B6A44">
        <w:rPr>
          <w:rFonts w:hint="eastAsia"/>
          <w:color w:val="000000"/>
          <w:sz w:val="21"/>
          <w:szCs w:val="21"/>
          <w:bdr w:val="none" w:sz="0" w:space="0" w:color="auto" w:frame="1"/>
        </w:rPr>
        <w:t>万以下城市新建</w:t>
      </w:r>
      <w:r w:rsidRPr="009B6A44">
        <w:rPr>
          <w:rFonts w:cs="Times New Roman"/>
          <w:color w:val="000000"/>
          <w:sz w:val="21"/>
          <w:szCs w:val="21"/>
          <w:bdr w:val="none" w:sz="0" w:space="0" w:color="auto" w:frame="1"/>
        </w:rPr>
        <w:t>150</w:t>
      </w:r>
      <w:r w:rsidRPr="009B6A44">
        <w:rPr>
          <w:rFonts w:hint="eastAsia"/>
          <w:color w:val="000000"/>
          <w:sz w:val="21"/>
          <w:szCs w:val="21"/>
          <w:bdr w:val="none" w:sz="0" w:space="0" w:color="auto" w:frame="1"/>
        </w:rPr>
        <w:t>米以上建筑，应报省住房和城乡建设厅审查，并报住房和城乡建设部备案。</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省发展改革委、省自然资源厅、省住房城乡建设厅、省消防救援总队按职责分工负责</w:t>
      </w:r>
      <w:r>
        <w:rPr>
          <w:rFonts w:hint="eastAsia"/>
          <w:color w:val="000000"/>
          <w:sz w:val="21"/>
          <w:szCs w:val="21"/>
          <w:bdr w:val="none" w:sz="0" w:space="0" w:color="auto" w:frame="1"/>
        </w:rPr>
        <w:t>)</w:t>
      </w:r>
    </w:p>
    <w:p w14:paraId="2583C07E"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(三)科学引导高层建筑选址布局。</w:t>
      </w:r>
      <w:r w:rsidRPr="009B6A44">
        <w:rPr>
          <w:rFonts w:hint="eastAsia"/>
          <w:color w:val="000000"/>
          <w:sz w:val="21"/>
          <w:szCs w:val="21"/>
          <w:bdr w:val="none" w:sz="0" w:space="0" w:color="auto" w:frame="1"/>
        </w:rPr>
        <w:t>各地要结合城市空间格局、功能布局，选择在安全、适宜的地段统筹规划高层建筑建设，相对集中布局，确需新建超高层建筑的，应加强消防、安全、风貌、交通组织等方面的严格论证。高层建筑应避开抗震防灾专项规划确定的危险地段，不得位于架空电力线路保护区内，不得位于石油天然气管</w:t>
      </w:r>
      <w:proofErr w:type="gramStart"/>
      <w:r w:rsidRPr="009B6A44">
        <w:rPr>
          <w:rFonts w:hint="eastAsia"/>
          <w:color w:val="000000"/>
          <w:sz w:val="21"/>
          <w:szCs w:val="21"/>
          <w:bdr w:val="none" w:sz="0" w:space="0" w:color="auto" w:frame="1"/>
        </w:rPr>
        <w:t>道安全</w:t>
      </w:r>
      <w:proofErr w:type="gramEnd"/>
      <w:r w:rsidRPr="009B6A44">
        <w:rPr>
          <w:rFonts w:hint="eastAsia"/>
          <w:color w:val="000000"/>
          <w:sz w:val="21"/>
          <w:szCs w:val="21"/>
          <w:bdr w:val="none" w:sz="0" w:space="0" w:color="auto" w:frame="1"/>
        </w:rPr>
        <w:t>防护距离范围内，不得位于公路、铁路规定的退让红线距离范围内，不得位于炸药库、危化品仓库安全防护距离范围内，不得占用河道和行洪通道，一般不得在生态敏感等重点地段建设。超高层建筑一般不在重要山体、水体周边以及老城旧城开发强度较高、人口密集、交通拥堵地段新建。</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省自然资源厅、省住房城乡建设厅按职责分工负责</w:t>
      </w:r>
      <w:r>
        <w:rPr>
          <w:rFonts w:hint="eastAsia"/>
          <w:color w:val="000000"/>
          <w:sz w:val="21"/>
          <w:szCs w:val="21"/>
          <w:bdr w:val="none" w:sz="0" w:space="0" w:color="auto" w:frame="1"/>
        </w:rPr>
        <w:t>)</w:t>
      </w:r>
    </w:p>
    <w:p w14:paraId="4A7C710C"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(四)严格高层建筑规划许可管理。</w:t>
      </w:r>
      <w:r w:rsidRPr="009B6A44">
        <w:rPr>
          <w:rFonts w:hint="eastAsia"/>
          <w:color w:val="000000"/>
          <w:sz w:val="21"/>
          <w:szCs w:val="21"/>
          <w:bdr w:val="none" w:sz="0" w:space="0" w:color="auto" w:frame="1"/>
        </w:rPr>
        <w:t>自然资源部门应当根据详细规划出具规划条件、实施规划许可，重点加强对建筑高度、容积率等规划指标，出入口及消防、救护等特殊交通流线，建筑物间距及建筑单体设计中涉及职责范围内安全要素的审查，核发建设工程规划许可前，就消防车道、消防车登高操作场地、建筑间距，以及外连廊、内天井、架空层、电动自行车停放充电场所设置是否符合消防安全要求，征求住房</w:t>
      </w:r>
      <w:r w:rsidRPr="009B6A44">
        <w:rPr>
          <w:rFonts w:hint="eastAsia"/>
          <w:color w:val="000000"/>
          <w:sz w:val="21"/>
          <w:szCs w:val="21"/>
          <w:bdr w:val="none" w:sz="0" w:space="0" w:color="auto" w:frame="1"/>
        </w:rPr>
        <w:lastRenderedPageBreak/>
        <w:t>城乡建设、交通运输、消防救援等主管部门意见。</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省自然资源厅牵头，省住房城乡建设厅、省交通运输厅、省消防救援总队按职责分工负责</w:t>
      </w:r>
      <w:r>
        <w:rPr>
          <w:rFonts w:hint="eastAsia"/>
          <w:color w:val="000000"/>
          <w:sz w:val="21"/>
          <w:szCs w:val="21"/>
          <w:bdr w:val="none" w:sz="0" w:space="0" w:color="auto" w:frame="1"/>
        </w:rPr>
        <w:t>)</w:t>
      </w:r>
    </w:p>
    <w:p w14:paraId="2309B9F2" w14:textId="77777777" w:rsidR="009B6A44" w:rsidRPr="00C23177" w:rsidRDefault="009B6A44" w:rsidP="00C23177">
      <w:pPr>
        <w:pStyle w:val="a3"/>
        <w:shd w:val="clear" w:color="auto" w:fill="FFFFFF"/>
        <w:spacing w:before="0" w:beforeAutospacing="0" w:after="0" w:afterAutospacing="0"/>
        <w:ind w:firstLineChars="200" w:firstLine="420"/>
        <w:jc w:val="both"/>
        <w:rPr>
          <w:rFonts w:hint="eastAsia"/>
          <w:color w:val="FF0000"/>
          <w:sz w:val="21"/>
          <w:szCs w:val="21"/>
        </w:rPr>
      </w:pPr>
      <w:r w:rsidRPr="00C23177">
        <w:rPr>
          <w:rFonts w:hint="eastAsia"/>
          <w:color w:val="FF0000"/>
          <w:sz w:val="21"/>
          <w:szCs w:val="21"/>
          <w:bdr w:val="none" w:sz="0" w:space="0" w:color="auto" w:frame="1"/>
        </w:rPr>
        <w:t>二、加强设计建造环节质量把关</w:t>
      </w:r>
    </w:p>
    <w:p w14:paraId="472F318F"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(五)强化勘察设计质量管理。</w:t>
      </w:r>
      <w:r w:rsidRPr="009B6A44">
        <w:rPr>
          <w:rFonts w:hint="eastAsia"/>
          <w:color w:val="000000"/>
          <w:sz w:val="21"/>
          <w:szCs w:val="21"/>
          <w:bdr w:val="none" w:sz="0" w:space="0" w:color="auto" w:frame="1"/>
        </w:rPr>
        <w:t>住房城乡建设部门应当督促工程勘察、设计单位按资质等级和业务范围承揽高层建筑勘察设计业务，建立健全质量保证体系；严格按照项目批准文件、城乡规划、工程建设强制性标准等编制勘察设计文件，加强对高层建筑外连廊、内天井、架空层、电动自行车停放充电场所等部位的消防设计，在满足功能需求的基础上降低潜在消防风险；通过采用“双随机、</w:t>
      </w:r>
      <w:proofErr w:type="gramStart"/>
      <w:r w:rsidRPr="009B6A44">
        <w:rPr>
          <w:rFonts w:hint="eastAsia"/>
          <w:color w:val="000000"/>
          <w:sz w:val="21"/>
          <w:szCs w:val="21"/>
          <w:bdr w:val="none" w:sz="0" w:space="0" w:color="auto" w:frame="1"/>
        </w:rPr>
        <w:t>一</w:t>
      </w:r>
      <w:proofErr w:type="gramEnd"/>
      <w:r w:rsidRPr="009B6A44">
        <w:rPr>
          <w:rFonts w:hint="eastAsia"/>
          <w:color w:val="000000"/>
          <w:sz w:val="21"/>
          <w:szCs w:val="21"/>
          <w:bdr w:val="none" w:sz="0" w:space="0" w:color="auto" w:frame="1"/>
        </w:rPr>
        <w:t>公开”检查等方式，对高层建筑勘察设计质量进行抽查，全面压实建设单位首要责任和勘察、设计单位主体责任，提升结构、消防等方面安全性水平。交通运输、水利、铁路等部门应当按照各自职责，加强对本行业高层建筑工程勘察、设计活动的监督管理。</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省住房城乡建设厅牵头，省交通运输厅、省水利厅、省铁路办等行业主管部门按职责分工负责</w:t>
      </w:r>
      <w:r>
        <w:rPr>
          <w:rFonts w:hint="eastAsia"/>
          <w:color w:val="000000"/>
          <w:sz w:val="21"/>
          <w:szCs w:val="21"/>
          <w:bdr w:val="none" w:sz="0" w:space="0" w:color="auto" w:frame="1"/>
        </w:rPr>
        <w:t>)</w:t>
      </w:r>
    </w:p>
    <w:p w14:paraId="788D2113"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(六)规范设计专项论证审查。</w:t>
      </w:r>
      <w:r w:rsidRPr="009B6A44">
        <w:rPr>
          <w:rFonts w:hint="eastAsia"/>
          <w:color w:val="000000"/>
          <w:sz w:val="21"/>
          <w:szCs w:val="21"/>
          <w:bdr w:val="none" w:sz="0" w:space="0" w:color="auto" w:frame="1"/>
        </w:rPr>
        <w:t>各地应严格落实高层建筑相关消防、抗震等论证审查要求，依法加强对设计变更的监督管理。住房城乡建设部门负责组织超限高层建筑工程抗震设防专项审查、特殊消防设计专家评审和建筑高度大于250米民用建筑防火设计加强性措施专题研究论证，督促施工图审查机构对施工图设计文件中涉及公共利益、公众安全和工程建设强制性标准的内容进行审查，落实专项论证审查意见要求，强化对施工图审查中有关消防安全性内容的监督管理。交通运输等有关部门应当按照职责对施工图设计文件中涉及公共利益、公众安全、工程建设强制性标准的内容进行审查。对专业建设工程依法实施施工图设计文件审查时，应当将消防技术审查纳入施工图设计文件审查。</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省住房城乡建设厅牵头，省交通运输厅、省水利厅、省铁路办等行业主管部门按职责分工负责</w:t>
      </w:r>
      <w:r>
        <w:rPr>
          <w:rFonts w:hint="eastAsia"/>
          <w:color w:val="000000"/>
          <w:sz w:val="21"/>
          <w:szCs w:val="21"/>
          <w:bdr w:val="none" w:sz="0" w:space="0" w:color="auto" w:frame="1"/>
        </w:rPr>
        <w:t>)</w:t>
      </w:r>
    </w:p>
    <w:p w14:paraId="593AC5D8"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(七)严格施工质量安全管理。</w:t>
      </w:r>
      <w:r w:rsidRPr="009B6A44">
        <w:rPr>
          <w:rFonts w:hint="eastAsia"/>
          <w:color w:val="000000"/>
          <w:sz w:val="21"/>
          <w:szCs w:val="21"/>
          <w:bdr w:val="none" w:sz="0" w:space="0" w:color="auto" w:frame="1"/>
        </w:rPr>
        <w:t>住房城乡建设、交通运输、水利、铁路等部门应当督促建设、施工、工程监理等单位落实质量安全主体责任和质量终身责任制，加强施工</w:t>
      </w:r>
      <w:proofErr w:type="gramStart"/>
      <w:r w:rsidRPr="009B6A44">
        <w:rPr>
          <w:rFonts w:hint="eastAsia"/>
          <w:color w:val="000000"/>
          <w:sz w:val="21"/>
          <w:szCs w:val="21"/>
          <w:bdr w:val="none" w:sz="0" w:space="0" w:color="auto" w:frame="1"/>
        </w:rPr>
        <w:t>过程消防</w:t>
      </w:r>
      <w:proofErr w:type="gramEnd"/>
      <w:r w:rsidRPr="009B6A44">
        <w:rPr>
          <w:rFonts w:hint="eastAsia"/>
          <w:color w:val="000000"/>
          <w:sz w:val="21"/>
          <w:szCs w:val="21"/>
          <w:bdr w:val="none" w:sz="0" w:space="0" w:color="auto" w:frame="1"/>
        </w:rPr>
        <w:t>安全和质量管理；加强对建筑构配件和保温、装饰等材料燃烧性能、耐火极限以及消防设施设备质量的进场检验；严格把控防火墙、防火隔墙、窗槛墙、幕墙空腔等关键部位和管道井防火封堵、排烟管道防火保护等隐蔽工程的施工质量，加大对防火关键部位及隐蔽工程等抽查抽测频率。指导施工单位全面落实岗前消防安全培训要求，及时进行安全防护基本知识和技能、事故案例教育等培训；督促落实施工现场消防安全管理措施，严格动火作业“四个一律”管理，按照标准设置临时消防设施。对违反消防安全管理规定的行为，由相关部门依法严肃查处。</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省住房城乡建设厅、省交通运输厅、省水利厅、省铁路办等行业主管部门以及省消防救援总队按职责分工负责</w:t>
      </w:r>
      <w:r>
        <w:rPr>
          <w:rFonts w:hint="eastAsia"/>
          <w:color w:val="000000"/>
          <w:sz w:val="21"/>
          <w:szCs w:val="21"/>
          <w:bdr w:val="none" w:sz="0" w:space="0" w:color="auto" w:frame="1"/>
        </w:rPr>
        <w:t>)</w:t>
      </w:r>
    </w:p>
    <w:p w14:paraId="3EC4D7B2" w14:textId="77777777" w:rsidR="009B6A44" w:rsidRPr="00C23177" w:rsidRDefault="009B6A44" w:rsidP="00C23177">
      <w:pPr>
        <w:pStyle w:val="a3"/>
        <w:shd w:val="clear" w:color="auto" w:fill="FFFFFF"/>
        <w:spacing w:before="0" w:beforeAutospacing="0" w:after="0" w:afterAutospacing="0"/>
        <w:ind w:firstLineChars="200" w:firstLine="420"/>
        <w:jc w:val="both"/>
        <w:rPr>
          <w:rFonts w:hint="eastAsia"/>
          <w:color w:val="FF0000"/>
          <w:sz w:val="21"/>
          <w:szCs w:val="21"/>
        </w:rPr>
      </w:pPr>
      <w:r w:rsidRPr="00C23177">
        <w:rPr>
          <w:rFonts w:hint="eastAsia"/>
          <w:color w:val="FF0000"/>
          <w:sz w:val="21"/>
          <w:szCs w:val="21"/>
          <w:bdr w:val="none" w:sz="0" w:space="0" w:color="auto" w:frame="1"/>
        </w:rPr>
        <w:t>三、守牢竣工验收环节安全底线</w:t>
      </w:r>
    </w:p>
    <w:p w14:paraId="2093948B"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(八)严格规划核实管理。</w:t>
      </w:r>
      <w:r w:rsidRPr="009B6A44">
        <w:rPr>
          <w:rFonts w:hint="eastAsia"/>
          <w:color w:val="000000"/>
          <w:sz w:val="21"/>
          <w:szCs w:val="21"/>
          <w:bdr w:val="none" w:sz="0" w:space="0" w:color="auto" w:frame="1"/>
        </w:rPr>
        <w:t>竣工验收前应就建设内容是否符合规划条件和建设工程规划许可开展规划核实，涉及分期规划核实的，应将规划条件中明确与建筑主体同步建成交付的基础设施、公共服务设施与主体建筑同步开展核实。未取得规划许可或违反规划许可进行建设的项目，不得通过规划核实。未经核实或者经核实不符合规划条件的，建设单位不得组织竣工验收。对采取隐瞒手段骗取通过规划核实或违法违规通过规划核实的，应依法纠正规划核实意见。</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省自然资源厅负责</w:t>
      </w:r>
      <w:r>
        <w:rPr>
          <w:rFonts w:hint="eastAsia"/>
          <w:color w:val="000000"/>
          <w:sz w:val="21"/>
          <w:szCs w:val="21"/>
          <w:bdr w:val="none" w:sz="0" w:space="0" w:color="auto" w:frame="1"/>
        </w:rPr>
        <w:t>)</w:t>
      </w:r>
    </w:p>
    <w:p w14:paraId="58B659E8"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(九)规范竣工验收管理。</w:t>
      </w:r>
      <w:r w:rsidRPr="009B6A44">
        <w:rPr>
          <w:rFonts w:hint="eastAsia"/>
          <w:color w:val="000000"/>
          <w:sz w:val="21"/>
          <w:szCs w:val="21"/>
          <w:bdr w:val="none" w:sz="0" w:space="0" w:color="auto" w:frame="1"/>
        </w:rPr>
        <w:t>住房城乡建设、水利、交通运输、铁路等部门应当督促参建各方落实主体责任，加强对高层建筑工程竣工验收的组织形式、验收程序、执行标准等情况的监督管理，确保工程质量符合有关法律、法规、规章和工程建设强制性标准，符合施工图设计文件及施工合同要求。住房城乡建设部门应当规范开展消防验收现场评定，重点检查防火间距、防火分隔、安全出口、疏散通道、管道井封堵、消防车道、消防车登高操作场地等内容，加强消防设施性能的抽样测试和系统功能的联调联试；对开展特殊消防设计的高层建筑和250米以上民用建筑还应核查专家评审、论证意见落实情况。辖区消防部门根据需要，结合高层建筑“六熟悉”，协助对消防车道、消防车登高操作场地、消防供</w:t>
      </w:r>
      <w:r>
        <w:rPr>
          <w:rFonts w:hint="eastAsia"/>
          <w:color w:val="000000"/>
          <w:sz w:val="21"/>
          <w:szCs w:val="21"/>
          <w:bdr w:val="none" w:sz="0" w:space="0" w:color="auto" w:frame="1"/>
        </w:rPr>
        <w:t>(</w:t>
      </w:r>
      <w:r w:rsidRPr="009B6A44">
        <w:rPr>
          <w:rFonts w:hint="eastAsia"/>
          <w:color w:val="000000"/>
          <w:sz w:val="21"/>
          <w:szCs w:val="21"/>
          <w:bdr w:val="none" w:sz="0" w:space="0" w:color="auto" w:frame="1"/>
        </w:rPr>
        <w:t>取</w:t>
      </w:r>
      <w:r>
        <w:rPr>
          <w:rFonts w:hint="eastAsia"/>
          <w:color w:val="000000"/>
          <w:sz w:val="21"/>
          <w:szCs w:val="21"/>
          <w:bdr w:val="none" w:sz="0" w:space="0" w:color="auto" w:frame="1"/>
        </w:rPr>
        <w:t>)</w:t>
      </w:r>
      <w:r w:rsidRPr="009B6A44">
        <w:rPr>
          <w:rFonts w:hint="eastAsia"/>
          <w:color w:val="000000"/>
          <w:sz w:val="21"/>
          <w:szCs w:val="21"/>
          <w:bdr w:val="none" w:sz="0" w:space="0" w:color="auto" w:frame="1"/>
        </w:rPr>
        <w:t>水试验等方面进行测试。</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省住房城乡建设厅、省交通运输厅、省水利厅、省铁路办等行业主管部门以及省消防救援总队按职责分工负责</w:t>
      </w:r>
      <w:r>
        <w:rPr>
          <w:rFonts w:hint="eastAsia"/>
          <w:color w:val="000000"/>
          <w:sz w:val="21"/>
          <w:szCs w:val="21"/>
          <w:bdr w:val="none" w:sz="0" w:space="0" w:color="auto" w:frame="1"/>
        </w:rPr>
        <w:t>)</w:t>
      </w:r>
    </w:p>
    <w:p w14:paraId="66A40912" w14:textId="77777777" w:rsidR="009B6A44" w:rsidRPr="00C23177" w:rsidRDefault="009B6A44" w:rsidP="00C23177">
      <w:pPr>
        <w:pStyle w:val="a3"/>
        <w:shd w:val="clear" w:color="auto" w:fill="FFFFFF"/>
        <w:spacing w:before="0" w:beforeAutospacing="0" w:after="0" w:afterAutospacing="0"/>
        <w:ind w:firstLineChars="200" w:firstLine="420"/>
        <w:jc w:val="both"/>
        <w:rPr>
          <w:rFonts w:hint="eastAsia"/>
          <w:color w:val="FF0000"/>
          <w:sz w:val="21"/>
          <w:szCs w:val="21"/>
        </w:rPr>
      </w:pPr>
      <w:r w:rsidRPr="00C23177">
        <w:rPr>
          <w:rFonts w:hint="eastAsia"/>
          <w:color w:val="FF0000"/>
          <w:sz w:val="21"/>
          <w:szCs w:val="21"/>
          <w:bdr w:val="none" w:sz="0" w:space="0" w:color="auto" w:frame="1"/>
        </w:rPr>
        <w:t>四、提升建筑设计建造技术支撑水平</w:t>
      </w:r>
    </w:p>
    <w:p w14:paraId="3DFCF80B"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(十)完善标准体系建设。</w:t>
      </w:r>
      <w:r w:rsidRPr="009B6A44">
        <w:rPr>
          <w:rFonts w:hint="eastAsia"/>
          <w:color w:val="000000"/>
          <w:sz w:val="21"/>
          <w:szCs w:val="21"/>
          <w:bdr w:val="none" w:sz="0" w:space="0" w:color="auto" w:frame="1"/>
        </w:rPr>
        <w:t>各地、各部门要结合经济社会发展需要、高层建筑设计建造实践和火灾事故教训等，及时组织现行标准实施评估论证和信息反馈，加强对高层建筑消防设计潜在风险部位研究，持续</w:t>
      </w:r>
      <w:r w:rsidRPr="009B6A44">
        <w:rPr>
          <w:rFonts w:hint="eastAsia"/>
          <w:color w:val="000000"/>
          <w:sz w:val="21"/>
          <w:szCs w:val="21"/>
          <w:bdr w:val="none" w:sz="0" w:space="0" w:color="auto" w:frame="1"/>
        </w:rPr>
        <w:lastRenderedPageBreak/>
        <w:t>完善涉及高层建筑消防安全的标准体系。充分发挥标准在提升工程消防设计、施工质量方面的引领作用，鼓励企业、社会团体和教育科研机构等积极参与高层建筑相关标准编制修订工作。</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省住房城乡建设厅、省交通运输厅、省水利厅、省市场监督管理局、省铁路办等行业主管部门以及省消防救援总队按职责分工负责</w:t>
      </w:r>
      <w:r>
        <w:rPr>
          <w:rFonts w:hint="eastAsia"/>
          <w:color w:val="000000"/>
          <w:sz w:val="21"/>
          <w:szCs w:val="21"/>
          <w:bdr w:val="none" w:sz="0" w:space="0" w:color="auto" w:frame="1"/>
        </w:rPr>
        <w:t>)</w:t>
      </w:r>
    </w:p>
    <w:p w14:paraId="2CC4852E"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(十一)鼓励先进技术研发应用。</w:t>
      </w:r>
      <w:r w:rsidRPr="009B6A44">
        <w:rPr>
          <w:rFonts w:hint="eastAsia"/>
          <w:color w:val="000000"/>
          <w:sz w:val="21"/>
          <w:szCs w:val="21"/>
          <w:bdr w:val="none" w:sz="0" w:space="0" w:color="auto" w:frame="1"/>
        </w:rPr>
        <w:t>各地、各部门要积极打造产学研创新平台，鼓励加强高等学校、科研机构与企业之间的合作，加大高层建筑设计、建造相关技术创新及研发投入，加强工法研发和应用，加快智能建造、</w:t>
      </w:r>
      <w:proofErr w:type="gramStart"/>
      <w:r w:rsidRPr="009B6A44">
        <w:rPr>
          <w:rFonts w:hint="eastAsia"/>
          <w:color w:val="000000"/>
          <w:sz w:val="21"/>
          <w:szCs w:val="21"/>
          <w:bdr w:val="none" w:sz="0" w:space="0" w:color="auto" w:frame="1"/>
        </w:rPr>
        <w:t>智慧消防</w:t>
      </w:r>
      <w:proofErr w:type="gramEnd"/>
      <w:r w:rsidRPr="009B6A44">
        <w:rPr>
          <w:rFonts w:hint="eastAsia"/>
          <w:color w:val="000000"/>
          <w:sz w:val="21"/>
          <w:szCs w:val="21"/>
          <w:bdr w:val="none" w:sz="0" w:space="0" w:color="auto" w:frame="1"/>
        </w:rPr>
        <w:t>等科技成果转化。鼓励高层建筑采用建筑信息模型</w:t>
      </w:r>
      <w:r>
        <w:rPr>
          <w:rFonts w:hint="eastAsia"/>
          <w:color w:val="000000"/>
          <w:sz w:val="21"/>
          <w:szCs w:val="21"/>
          <w:bdr w:val="none" w:sz="0" w:space="0" w:color="auto" w:frame="1"/>
        </w:rPr>
        <w:t>(</w:t>
      </w:r>
      <w:r w:rsidRPr="009B6A44">
        <w:rPr>
          <w:rFonts w:hint="eastAsia"/>
          <w:color w:val="000000"/>
          <w:sz w:val="21"/>
          <w:szCs w:val="21"/>
          <w:bdr w:val="none" w:sz="0" w:space="0" w:color="auto" w:frame="1"/>
        </w:rPr>
        <w:t>BIM</w:t>
      </w:r>
      <w:r>
        <w:rPr>
          <w:rFonts w:hint="eastAsia"/>
          <w:color w:val="000000"/>
          <w:sz w:val="21"/>
          <w:szCs w:val="21"/>
          <w:bdr w:val="none" w:sz="0" w:space="0" w:color="auto" w:frame="1"/>
        </w:rPr>
        <w:t>)</w:t>
      </w:r>
      <w:r w:rsidRPr="009B6A44">
        <w:rPr>
          <w:rFonts w:hint="eastAsia"/>
          <w:color w:val="000000"/>
          <w:sz w:val="21"/>
          <w:szCs w:val="21"/>
          <w:bdr w:val="none" w:sz="0" w:space="0" w:color="auto" w:frame="1"/>
        </w:rPr>
        <w:t>设计，在设计、构件生产及施工建造环节实施信息共享及协同工作，实现全生命周期内建筑构件、消防设施布局等消防安全信息动态管理，为高层建筑自救和消防救援等提供信息化支撑。推广耐火、耐热性能好且燃烧后发烟量低、毒性低的新型建筑材料和先进消防设施设备应用，加强生产环节产品质量管控，提升高层建筑火灾自防能力。鼓励推广应用物联网和智能化技术手段对电气、</w:t>
      </w:r>
      <w:proofErr w:type="gramStart"/>
      <w:r w:rsidRPr="009B6A44">
        <w:rPr>
          <w:rFonts w:hint="eastAsia"/>
          <w:color w:val="000000"/>
          <w:sz w:val="21"/>
          <w:szCs w:val="21"/>
          <w:bdr w:val="none" w:sz="0" w:space="0" w:color="auto" w:frame="1"/>
        </w:rPr>
        <w:t>燃气消防</w:t>
      </w:r>
      <w:proofErr w:type="gramEnd"/>
      <w:r w:rsidRPr="009B6A44">
        <w:rPr>
          <w:rFonts w:hint="eastAsia"/>
          <w:color w:val="000000"/>
          <w:sz w:val="21"/>
          <w:szCs w:val="21"/>
          <w:bdr w:val="none" w:sz="0" w:space="0" w:color="auto" w:frame="1"/>
        </w:rPr>
        <w:t>安全和消防设施运行等进行监控和预警，采用火灾自动报警系统、电动自行车智能充电设施、电梯控制系统等技防、物防措施，提升消防本质安全水平。</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省住房城乡建设厅、省交通运输厅、省水利厅、省铁路办等行业主管部门以及省消防救援总队、省工业和信息化厅、省市场监督管理局按职责分工负责</w:t>
      </w:r>
      <w:r>
        <w:rPr>
          <w:rFonts w:hint="eastAsia"/>
          <w:color w:val="000000"/>
          <w:sz w:val="21"/>
          <w:szCs w:val="21"/>
          <w:bdr w:val="none" w:sz="0" w:space="0" w:color="auto" w:frame="1"/>
        </w:rPr>
        <w:t>)</w:t>
      </w:r>
    </w:p>
    <w:p w14:paraId="0A35FE9F"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r w:rsidRPr="00C23177">
        <w:rPr>
          <w:rFonts w:hint="eastAsia"/>
          <w:color w:val="FF0000"/>
          <w:sz w:val="21"/>
          <w:szCs w:val="21"/>
          <w:bdr w:val="none" w:sz="0" w:space="0" w:color="auto" w:frame="1"/>
        </w:rPr>
        <w:t>(十二)加快专业人才队伍培育。</w:t>
      </w:r>
      <w:r w:rsidRPr="009B6A44">
        <w:rPr>
          <w:rFonts w:hint="eastAsia"/>
          <w:color w:val="000000"/>
          <w:sz w:val="21"/>
          <w:szCs w:val="21"/>
          <w:bdr w:val="none" w:sz="0" w:space="0" w:color="auto" w:frame="1"/>
        </w:rPr>
        <w:t>各地、各部门要围绕高层建筑政策文件及相关技术标准，采用岗前培训、技能竞赛、继续教育等形式，聚焦重点、难点问题，加强规划、设计</w:t>
      </w:r>
      <w:r>
        <w:rPr>
          <w:rFonts w:hint="eastAsia"/>
          <w:color w:val="000000"/>
          <w:sz w:val="21"/>
          <w:szCs w:val="21"/>
          <w:bdr w:val="none" w:sz="0" w:space="0" w:color="auto" w:frame="1"/>
        </w:rPr>
        <w:t>(</w:t>
      </w:r>
      <w:r w:rsidRPr="009B6A44">
        <w:rPr>
          <w:rFonts w:hint="eastAsia"/>
          <w:color w:val="000000"/>
          <w:sz w:val="21"/>
          <w:szCs w:val="21"/>
          <w:bdr w:val="none" w:sz="0" w:space="0" w:color="auto" w:frame="1"/>
        </w:rPr>
        <w:t>审查</w:t>
      </w:r>
      <w:r>
        <w:rPr>
          <w:rFonts w:hint="eastAsia"/>
          <w:color w:val="000000"/>
          <w:sz w:val="21"/>
          <w:szCs w:val="21"/>
          <w:bdr w:val="none" w:sz="0" w:space="0" w:color="auto" w:frame="1"/>
        </w:rPr>
        <w:t>)</w:t>
      </w:r>
      <w:r w:rsidRPr="009B6A44">
        <w:rPr>
          <w:rFonts w:hint="eastAsia"/>
          <w:color w:val="000000"/>
          <w:sz w:val="21"/>
          <w:szCs w:val="21"/>
          <w:bdr w:val="none" w:sz="0" w:space="0" w:color="auto" w:frame="1"/>
        </w:rPr>
        <w:t>、建造等相关行业从业人员培训，提升人才队伍专业素养。通过鼓励创新、试点引领等多种举措，形成</w:t>
      </w:r>
      <w:proofErr w:type="gramStart"/>
      <w:r w:rsidRPr="009B6A44">
        <w:rPr>
          <w:rFonts w:hint="eastAsia"/>
          <w:color w:val="000000"/>
          <w:sz w:val="21"/>
          <w:szCs w:val="21"/>
          <w:bdr w:val="none" w:sz="0" w:space="0" w:color="auto" w:frame="1"/>
        </w:rPr>
        <w:t>优秀实践</w:t>
      </w:r>
      <w:proofErr w:type="gramEnd"/>
      <w:r w:rsidRPr="009B6A44">
        <w:rPr>
          <w:rFonts w:hint="eastAsia"/>
          <w:color w:val="000000"/>
          <w:sz w:val="21"/>
          <w:szCs w:val="21"/>
          <w:bdr w:val="none" w:sz="0" w:space="0" w:color="auto" w:frame="1"/>
        </w:rPr>
        <w:t>案例，引导从业人员在落实消防、抗震等要求基础上，推动高层建筑功能品质提升。</w:t>
      </w:r>
      <w:r>
        <w:rPr>
          <w:rFonts w:hint="eastAsia"/>
          <w:color w:val="000000"/>
          <w:sz w:val="21"/>
          <w:szCs w:val="21"/>
          <w:bdr w:val="none" w:sz="0" w:space="0" w:color="auto" w:frame="1"/>
        </w:rPr>
        <w:t>(</w:t>
      </w:r>
      <w:r w:rsidRPr="009B6A44">
        <w:rPr>
          <w:rFonts w:hint="eastAsia"/>
          <w:color w:val="000000"/>
          <w:sz w:val="21"/>
          <w:szCs w:val="21"/>
          <w:bdr w:val="none" w:sz="0" w:space="0" w:color="auto" w:frame="1"/>
        </w:rPr>
        <w:t>省自然资源厅、省住房城乡建设厅、省交通运输厅、省水利厅、省铁路办等行业主管部门以及省消防救援总队按职责分工负责</w:t>
      </w:r>
      <w:r>
        <w:rPr>
          <w:rFonts w:hint="eastAsia"/>
          <w:color w:val="000000"/>
          <w:sz w:val="21"/>
          <w:szCs w:val="21"/>
          <w:bdr w:val="none" w:sz="0" w:space="0" w:color="auto" w:frame="1"/>
        </w:rPr>
        <w:t>)</w:t>
      </w:r>
    </w:p>
    <w:p w14:paraId="5475C31F" w14:textId="77777777" w:rsidR="009B6A44" w:rsidRPr="009B6A44" w:rsidRDefault="009B6A44" w:rsidP="00C23177">
      <w:pPr>
        <w:pStyle w:val="a3"/>
        <w:shd w:val="clear" w:color="auto" w:fill="FFFFFF"/>
        <w:spacing w:before="0" w:beforeAutospacing="0" w:after="0" w:afterAutospacing="0"/>
        <w:ind w:firstLineChars="200" w:firstLine="420"/>
        <w:jc w:val="both"/>
        <w:rPr>
          <w:rFonts w:hint="eastAsia"/>
          <w:color w:val="333333"/>
          <w:sz w:val="21"/>
          <w:szCs w:val="21"/>
        </w:rPr>
      </w:pPr>
      <w:proofErr w:type="gramStart"/>
      <w:r w:rsidRPr="009B6A44">
        <w:rPr>
          <w:rFonts w:hint="eastAsia"/>
          <w:color w:val="000000"/>
          <w:sz w:val="21"/>
          <w:szCs w:val="21"/>
          <w:bdr w:val="none" w:sz="0" w:space="0" w:color="auto" w:frame="1"/>
        </w:rPr>
        <w:t>本意见自2025年1月1日起</w:t>
      </w:r>
      <w:proofErr w:type="gramEnd"/>
      <w:r w:rsidRPr="009B6A44">
        <w:rPr>
          <w:rFonts w:hint="eastAsia"/>
          <w:color w:val="000000"/>
          <w:sz w:val="21"/>
          <w:szCs w:val="21"/>
          <w:bdr w:val="none" w:sz="0" w:space="0" w:color="auto" w:frame="1"/>
        </w:rPr>
        <w:t>实施，有效期至2029年12月31日。实施前已依据详细规划出具规划条件且完成国有建设用地出让活动的，按原规定执行。</w:t>
      </w:r>
    </w:p>
    <w:sectPr w:rsidR="009B6A44" w:rsidRPr="009B6A44" w:rsidSect="00091C62">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25"/>
    <w:rsid w:val="00091C62"/>
    <w:rsid w:val="00114E82"/>
    <w:rsid w:val="009B6A44"/>
    <w:rsid w:val="00B3353F"/>
    <w:rsid w:val="00B63A7F"/>
    <w:rsid w:val="00C23177"/>
    <w:rsid w:val="00CA4087"/>
    <w:rsid w:val="00CD1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9A6B"/>
  <w15:chartTrackingRefBased/>
  <w15:docId w15:val="{123BC719-2872-4047-BA01-F8E1C06F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A4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646</Words>
  <Characters>3687</Characters>
  <Application>Microsoft Office Word</Application>
  <DocSecurity>0</DocSecurity>
  <Lines>30</Lines>
  <Paragraphs>8</Paragraphs>
  <ScaleCrop>false</ScaleCrop>
  <Company>china</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潘光宏 pghansh</cp:lastModifiedBy>
  <cp:revision>6</cp:revision>
  <dcterms:created xsi:type="dcterms:W3CDTF">2024-12-31T01:21:00Z</dcterms:created>
  <dcterms:modified xsi:type="dcterms:W3CDTF">2025-01-01T07:27:00Z</dcterms:modified>
</cp:coreProperties>
</file>